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3F02"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0434EBE6" w14:textId="77777777" w:rsidR="00A73189" w:rsidRDefault="00000000">
      <w:pPr>
        <w:spacing w:after="0" w:line="259" w:lineRule="auto"/>
        <w:ind w:left="-1" w:firstLine="0"/>
        <w:jc w:val="right"/>
      </w:pPr>
      <w:r>
        <w:rPr>
          <w:noProof/>
        </w:rPr>
        <w:drawing>
          <wp:inline distT="0" distB="0" distL="0" distR="0" wp14:anchorId="34625615" wp14:editId="3B8D28DD">
            <wp:extent cx="5943600" cy="925830"/>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5"/>
                    <a:stretch>
                      <a:fillRect/>
                    </a:stretch>
                  </pic:blipFill>
                  <pic:spPr>
                    <a:xfrm>
                      <a:off x="0" y="0"/>
                      <a:ext cx="5943600" cy="925830"/>
                    </a:xfrm>
                    <a:prstGeom prst="rect">
                      <a:avLst/>
                    </a:prstGeom>
                  </pic:spPr>
                </pic:pic>
              </a:graphicData>
            </a:graphic>
          </wp:inline>
        </w:drawing>
      </w:r>
      <w:r>
        <w:rPr>
          <w:rFonts w:ascii="Times New Roman" w:eastAsia="Times New Roman" w:hAnsi="Times New Roman" w:cs="Times New Roman"/>
        </w:rPr>
        <w:t xml:space="preserve"> </w:t>
      </w:r>
    </w:p>
    <w:p w14:paraId="7D4A848F" w14:textId="77777777" w:rsidR="00A73189" w:rsidRDefault="00000000">
      <w:pPr>
        <w:spacing w:after="217" w:line="259" w:lineRule="auto"/>
        <w:ind w:left="0" w:firstLine="0"/>
      </w:pPr>
      <w:r>
        <w:rPr>
          <w:rFonts w:ascii="Times New Roman" w:eastAsia="Times New Roman" w:hAnsi="Times New Roman" w:cs="Times New Roman"/>
        </w:rPr>
        <w:t xml:space="preserve"> </w:t>
      </w:r>
    </w:p>
    <w:p w14:paraId="2ECC5005" w14:textId="77777777" w:rsidR="00A73189" w:rsidRDefault="00000000">
      <w:pPr>
        <w:pStyle w:val="Heading1"/>
      </w:pPr>
      <w:r>
        <w:t>TTB Meeting Minutes – January 18, 2022</w:t>
      </w:r>
      <w:r>
        <w:rPr>
          <w:rFonts w:ascii="Times New Roman" w:eastAsia="Times New Roman" w:hAnsi="Times New Roman" w:cs="Times New Roman"/>
          <w:b w:val="0"/>
        </w:rPr>
        <w:t xml:space="preserve"> </w:t>
      </w:r>
    </w:p>
    <w:p w14:paraId="6F26A336" w14:textId="77777777" w:rsidR="00A73189" w:rsidRDefault="00000000">
      <w:pPr>
        <w:spacing w:after="152" w:line="241" w:lineRule="auto"/>
        <w:ind w:left="-15" w:right="53" w:firstLine="0"/>
      </w:pPr>
      <w:r>
        <w:rPr>
          <w:sz w:val="22"/>
        </w:rPr>
        <w:t xml:space="preserve">The TTB met via zoom:  Present were Staff members John Hunter and Justin </w:t>
      </w:r>
      <w:proofErr w:type="spellStart"/>
      <w:r>
        <w:rPr>
          <w:sz w:val="22"/>
        </w:rPr>
        <w:t>Barbry</w:t>
      </w:r>
      <w:proofErr w:type="spellEnd"/>
      <w:r>
        <w:rPr>
          <w:sz w:val="22"/>
        </w:rPr>
        <w:t xml:space="preserve">, </w:t>
      </w:r>
      <w:proofErr w:type="spellStart"/>
      <w:r>
        <w:rPr>
          <w:sz w:val="22"/>
        </w:rPr>
        <w:t>BoD</w:t>
      </w:r>
      <w:proofErr w:type="spellEnd"/>
      <w:r>
        <w:rPr>
          <w:sz w:val="22"/>
        </w:rPr>
        <w:t xml:space="preserve"> liaisons Clay Turner and Charlie Davis, and members at large Doug Wille, Gregg Ginsburg, Brian Kuehl, and Bob </w:t>
      </w:r>
      <w:proofErr w:type="spellStart"/>
      <w:r>
        <w:rPr>
          <w:sz w:val="22"/>
        </w:rPr>
        <w:t>Tunnell</w:t>
      </w:r>
      <w:proofErr w:type="spellEnd"/>
      <w:r>
        <w:rPr>
          <w:sz w:val="22"/>
        </w:rPr>
        <w:t>.  Also present were Kathy Barnes and Ryan Cheek.</w:t>
      </w:r>
      <w:r>
        <w:rPr>
          <w:b/>
          <w:sz w:val="22"/>
        </w:rPr>
        <w:t xml:space="preserve"> </w:t>
      </w:r>
      <w:r>
        <w:rPr>
          <w:rFonts w:ascii="Times New Roman" w:eastAsia="Times New Roman" w:hAnsi="Times New Roman" w:cs="Times New Roman"/>
        </w:rPr>
        <w:t xml:space="preserve"> </w:t>
      </w:r>
    </w:p>
    <w:p w14:paraId="38502ED3"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7721372E" w14:textId="77777777" w:rsidR="00A73189" w:rsidRDefault="00000000">
      <w:pPr>
        <w:pStyle w:val="Heading1"/>
      </w:pPr>
      <w:r>
        <w:t>Member Advisories</w:t>
      </w:r>
      <w:r>
        <w:rPr>
          <w:rFonts w:ascii="Times New Roman" w:eastAsia="Times New Roman" w:hAnsi="Times New Roman" w:cs="Times New Roman"/>
          <w:b w:val="0"/>
        </w:rPr>
        <w:t xml:space="preserve"> </w:t>
      </w:r>
    </w:p>
    <w:p w14:paraId="504EDA71" w14:textId="77777777" w:rsidR="00A73189" w:rsidRDefault="00000000">
      <w:pPr>
        <w:ind w:left="0" w:right="42" w:firstLine="0"/>
      </w:pPr>
      <w:r>
        <w:t>The Time Trials National Tour has updated its cancellation policy for 2023.</w:t>
      </w:r>
      <w:r>
        <w:rPr>
          <w:sz w:val="22"/>
        </w:rPr>
        <w:t xml:space="preserve"> </w:t>
      </w:r>
      <w:r>
        <w:rPr>
          <w:rFonts w:ascii="Times New Roman" w:eastAsia="Times New Roman" w:hAnsi="Times New Roman" w:cs="Times New Roman"/>
        </w:rPr>
        <w:t xml:space="preserve"> </w:t>
      </w:r>
    </w:p>
    <w:p w14:paraId="7C1F0F44" w14:textId="77777777" w:rsidR="00A73189" w:rsidRDefault="00000000">
      <w:pPr>
        <w:spacing w:after="153" w:line="245" w:lineRule="auto"/>
        <w:ind w:left="721" w:right="21" w:firstLine="0"/>
      </w:pPr>
      <w:r>
        <w:rPr>
          <w:sz w:val="22"/>
        </w:rPr>
        <w:t>“</w:t>
      </w:r>
      <w:r>
        <w:rPr>
          <w:i/>
          <w:color w:val="222222"/>
        </w:rPr>
        <w:t>Full refund will be provided for cancellations requested 2 weeks before the event. Cancellation requests must be submitted through "My Events" on your Member Account Profile - find your event and click the "cancel" button. For cancellations made within 2 weeks of the event, a $100 cancellation fee will be applied to Time Trials National Tour registrations and a $50 cancellation fee will be applied to Track Event registrations.”</w:t>
      </w:r>
      <w:r>
        <w:rPr>
          <w:rFonts w:ascii="Times New Roman" w:eastAsia="Times New Roman" w:hAnsi="Times New Roman" w:cs="Times New Roman"/>
        </w:rPr>
        <w:t xml:space="preserve"> </w:t>
      </w:r>
    </w:p>
    <w:p w14:paraId="4E99AB53"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784E604C" w14:textId="77777777" w:rsidR="00A73189" w:rsidRDefault="00000000">
      <w:pPr>
        <w:ind w:left="0" w:right="42" w:firstLine="0"/>
      </w:pPr>
      <w:r>
        <w:t xml:space="preserve">Sanctioning Process </w:t>
      </w:r>
      <w:r>
        <w:rPr>
          <w:rFonts w:ascii="Times New Roman" w:eastAsia="Times New Roman" w:hAnsi="Times New Roman" w:cs="Times New Roman"/>
        </w:rPr>
        <w:t xml:space="preserve"> </w:t>
      </w:r>
    </w:p>
    <w:p w14:paraId="71D138F2" w14:textId="77777777" w:rsidR="00A73189" w:rsidRDefault="00000000">
      <w:pPr>
        <w:ind w:left="706" w:right="42" w:firstLine="0"/>
      </w:pPr>
      <w:r>
        <w:t xml:space="preserve">The process to sanction an event has been updated for 2023.  While we still heavily recommend having an Event/Registration page up at the time of the sanction request (so that the URL submitted can properly update the Find Your Fun and Find Events on both the SCCA and Time Trials websites) we will once again be accepting Supps and Schedules as the base for sanction.  Please visit the Sanction Requirements under the </w:t>
      </w:r>
      <w:hyperlink r:id="rId6">
        <w:r>
          <w:rPr>
            <w:color w:val="1155CC"/>
            <w:u w:val="single" w:color="1155CC"/>
          </w:rPr>
          <w:t>Admin Procedures</w:t>
        </w:r>
      </w:hyperlink>
      <w:hyperlink r:id="rId7">
        <w:r>
          <w:t xml:space="preserve"> </w:t>
        </w:r>
      </w:hyperlink>
      <w:r>
        <w:t>tab on the Time Trials website for details</w:t>
      </w:r>
      <w:r>
        <w:rPr>
          <w:color w:val="222222"/>
        </w:rPr>
        <w:t xml:space="preserve">. </w:t>
      </w:r>
      <w:r>
        <w:rPr>
          <w:rFonts w:ascii="Times New Roman" w:eastAsia="Times New Roman" w:hAnsi="Times New Roman" w:cs="Times New Roman"/>
        </w:rPr>
        <w:t xml:space="preserve"> </w:t>
      </w:r>
    </w:p>
    <w:p w14:paraId="02828724" w14:textId="77777777" w:rsidR="00A73189" w:rsidRDefault="00000000">
      <w:pPr>
        <w:spacing w:after="15" w:line="259" w:lineRule="auto"/>
        <w:ind w:left="0" w:firstLine="0"/>
      </w:pPr>
      <w:r>
        <w:rPr>
          <w:rFonts w:ascii="Times New Roman" w:eastAsia="Times New Roman" w:hAnsi="Times New Roman" w:cs="Times New Roman"/>
        </w:rPr>
        <w:t xml:space="preserve"> </w:t>
      </w:r>
    </w:p>
    <w:p w14:paraId="648720DB" w14:textId="77777777" w:rsidR="00A73189" w:rsidRDefault="00000000">
      <w:pPr>
        <w:spacing w:after="92" w:line="259" w:lineRule="auto"/>
        <w:ind w:left="0" w:firstLine="0"/>
      </w:pPr>
      <w:r>
        <w:rPr>
          <w:b/>
          <w:sz w:val="28"/>
          <w:u w:val="single" w:color="000000"/>
        </w:rPr>
        <w:t>Part Approval Requests:</w:t>
      </w:r>
      <w:r>
        <w:rPr>
          <w:b/>
          <w:sz w:val="28"/>
        </w:rPr>
        <w:t xml:space="preserve"> </w:t>
      </w:r>
    </w:p>
    <w:p w14:paraId="2F0454EB" w14:textId="77777777" w:rsidR="00A73189" w:rsidRDefault="00000000">
      <w:pPr>
        <w:spacing w:after="182" w:line="259" w:lineRule="auto"/>
        <w:ind w:left="0" w:firstLine="0"/>
      </w:pPr>
      <w:r>
        <w:rPr>
          <w:rFonts w:ascii="Times New Roman" w:eastAsia="Times New Roman" w:hAnsi="Times New Roman" w:cs="Times New Roman"/>
        </w:rPr>
        <w:t xml:space="preserve"> </w:t>
      </w:r>
    </w:p>
    <w:p w14:paraId="543A804E" w14:textId="77777777" w:rsidR="00A73189" w:rsidRDefault="00000000">
      <w:pPr>
        <w:spacing w:after="93" w:line="259" w:lineRule="auto"/>
        <w:ind w:left="-5" w:hanging="10"/>
      </w:pPr>
      <w:r>
        <w:rPr>
          <w:b/>
          <w:sz w:val="28"/>
        </w:rPr>
        <w:t>Approved</w:t>
      </w:r>
      <w:r>
        <w:rPr>
          <w:b/>
          <w:sz w:val="26"/>
        </w:rPr>
        <w:t xml:space="preserve">: </w:t>
      </w:r>
    </w:p>
    <w:p w14:paraId="63590E5E" w14:textId="77777777" w:rsidR="00A73189" w:rsidRDefault="00000000">
      <w:pPr>
        <w:pStyle w:val="Heading1"/>
        <w:ind w:left="356"/>
      </w:pPr>
      <w:r>
        <w:t>Sport Category</w:t>
      </w:r>
      <w:r>
        <w:rPr>
          <w:rFonts w:ascii="Times New Roman" w:eastAsia="Times New Roman" w:hAnsi="Times New Roman" w:cs="Times New Roman"/>
          <w:b w:val="0"/>
        </w:rPr>
        <w:t xml:space="preserve"> </w:t>
      </w:r>
    </w:p>
    <w:p w14:paraId="6A892AC6" w14:textId="3D8BBA1E" w:rsidR="00A73189" w:rsidRDefault="00000000">
      <w:pPr>
        <w:numPr>
          <w:ilvl w:val="0"/>
          <w:numId w:val="1"/>
        </w:numPr>
        <w:ind w:right="42" w:hanging="360"/>
      </w:pPr>
      <w:r>
        <w:t xml:space="preserve">Storm Lowering Springs for Hyundai Kona N – the TTB feels that these do meet the criteria and intent for allowed lowering springs and so they have been added to the alternate approved </w:t>
      </w:r>
      <w:r w:rsidR="00251C8A">
        <w:t>lowering springs</w:t>
      </w:r>
      <w:r>
        <w:t xml:space="preserve"> list. </w:t>
      </w:r>
    </w:p>
    <w:p w14:paraId="2B3AED16" w14:textId="77777777" w:rsidR="00A73189" w:rsidRDefault="00000000">
      <w:pPr>
        <w:spacing w:after="0" w:line="259" w:lineRule="auto"/>
        <w:ind w:left="0" w:firstLine="0"/>
      </w:pPr>
      <w:r>
        <w:rPr>
          <w:rFonts w:ascii="Times New Roman" w:eastAsia="Times New Roman" w:hAnsi="Times New Roman" w:cs="Times New Roman"/>
        </w:rPr>
        <w:lastRenderedPageBreak/>
        <w:t xml:space="preserve"> </w:t>
      </w:r>
    </w:p>
    <w:p w14:paraId="0EA621D6" w14:textId="77777777" w:rsidR="00A73189" w:rsidRDefault="00000000">
      <w:pPr>
        <w:spacing w:after="56" w:line="259" w:lineRule="auto"/>
        <w:ind w:left="0" w:firstLine="0"/>
      </w:pPr>
      <w:r>
        <w:rPr>
          <w:rFonts w:ascii="Times New Roman" w:eastAsia="Times New Roman" w:hAnsi="Times New Roman" w:cs="Times New Roman"/>
        </w:rPr>
        <w:t xml:space="preserve"> </w:t>
      </w:r>
    </w:p>
    <w:p w14:paraId="166CD51A" w14:textId="6D0991D2" w:rsidR="00A73189" w:rsidRDefault="00000000">
      <w:pPr>
        <w:numPr>
          <w:ilvl w:val="0"/>
          <w:numId w:val="1"/>
        </w:numPr>
        <w:spacing w:after="69"/>
        <w:ind w:right="42" w:hanging="360"/>
      </w:pPr>
      <w:r>
        <w:t>Forge Motorsport Induction Kit for Hyundai i30N, Kona N, Veloster N, and Elantra N. Part number: FMINDK28 – the TTB feels that th</w:t>
      </w:r>
      <w:r w:rsidR="00251C8A">
        <w:t>is</w:t>
      </w:r>
      <w:r>
        <w:t xml:space="preserve"> do</w:t>
      </w:r>
      <w:r w:rsidR="00251C8A">
        <w:t>es</w:t>
      </w:r>
      <w:r>
        <w:t xml:space="preserve"> meet the criteria and intent for allowed air intakes. </w:t>
      </w:r>
    </w:p>
    <w:p w14:paraId="68380F6C" w14:textId="77777777" w:rsidR="00A73189" w:rsidRDefault="00000000">
      <w:pPr>
        <w:spacing w:after="0" w:line="259" w:lineRule="auto"/>
        <w:ind w:left="1081" w:firstLine="0"/>
      </w:pPr>
      <w:r>
        <w:t xml:space="preserve"> </w:t>
      </w:r>
    </w:p>
    <w:p w14:paraId="49B49F4A" w14:textId="77777777" w:rsidR="00A73189" w:rsidRDefault="00000000">
      <w:pPr>
        <w:numPr>
          <w:ilvl w:val="0"/>
          <w:numId w:val="1"/>
        </w:numPr>
        <w:ind w:right="42" w:hanging="360"/>
      </w:pPr>
      <w:r>
        <w:t xml:space="preserve">Mazda RX8 sway bars on NC Mazda Mx-5’s – the TTB feels that these do meet the criteria and intent for allowed sway bars and so they have been added to the alternate approved sway bar list. </w:t>
      </w:r>
    </w:p>
    <w:p w14:paraId="314FB9CB"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5A976767"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7D66BF45" w14:textId="77777777" w:rsidR="00A73189" w:rsidRDefault="00000000">
      <w:pPr>
        <w:numPr>
          <w:ilvl w:val="0"/>
          <w:numId w:val="1"/>
        </w:numPr>
        <w:spacing w:after="0"/>
        <w:ind w:right="42" w:hanging="360"/>
      </w:pPr>
      <w:proofErr w:type="spellStart"/>
      <w:r>
        <w:t>Hotchkis</w:t>
      </w:r>
      <w:proofErr w:type="spellEnd"/>
      <w:r>
        <w:t xml:space="preserve"> Sport </w:t>
      </w:r>
      <w:proofErr w:type="spellStart"/>
      <w:r>
        <w:t>Swaybar</w:t>
      </w:r>
      <w:proofErr w:type="spellEnd"/>
      <w:r>
        <w:t xml:space="preserve"> Kit - F22 / F30 / F32 Car Set. Part number: 22841 – the TTB feels that these do meet the criteria and intent for allowed sway bars and so they have been added to the alternate approved sway bar list. </w:t>
      </w:r>
    </w:p>
    <w:p w14:paraId="69C4A6A3" w14:textId="77777777" w:rsidR="00A73189" w:rsidRDefault="00000000">
      <w:pPr>
        <w:spacing w:after="456" w:line="259" w:lineRule="auto"/>
        <w:ind w:left="0" w:firstLine="0"/>
      </w:pPr>
      <w:r>
        <w:rPr>
          <w:rFonts w:ascii="Times New Roman" w:eastAsia="Times New Roman" w:hAnsi="Times New Roman" w:cs="Times New Roman"/>
        </w:rPr>
        <w:t xml:space="preserve"> </w:t>
      </w:r>
    </w:p>
    <w:p w14:paraId="38399CB3" w14:textId="77777777" w:rsidR="00A73189" w:rsidRDefault="00000000">
      <w:pPr>
        <w:numPr>
          <w:ilvl w:val="0"/>
          <w:numId w:val="1"/>
        </w:numPr>
        <w:spacing w:after="0"/>
        <w:ind w:right="42" w:hanging="360"/>
      </w:pPr>
      <w:r>
        <w:t xml:space="preserve">F22/ F30/ F32 RWD </w:t>
      </w:r>
      <w:proofErr w:type="spellStart"/>
      <w:r>
        <w:t>Dinan</w:t>
      </w:r>
      <w:proofErr w:type="spellEnd"/>
      <w:r>
        <w:t xml:space="preserve"> Adjustable Sway Bar Set. Part number: D1200585 – the TTB feels that these do meet the criteria and intent for allowed sway bars and so they have been added to the alternate approved sway bar list. </w:t>
      </w:r>
    </w:p>
    <w:p w14:paraId="153D3E92"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69961BB6"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3EB2098E" w14:textId="77777777" w:rsidR="00A73189" w:rsidRDefault="00000000" w:rsidP="00251C8A">
      <w:pPr>
        <w:numPr>
          <w:ilvl w:val="0"/>
          <w:numId w:val="1"/>
        </w:numPr>
        <w:spacing w:after="0" w:line="259" w:lineRule="auto"/>
        <w:ind w:right="42" w:hanging="360"/>
      </w:pPr>
      <w:r>
        <w:t xml:space="preserve">RS-R </w:t>
      </w:r>
      <w:r>
        <w:rPr>
          <w:color w:val="222222"/>
        </w:rPr>
        <w:t xml:space="preserve">TOYOTA GR86 2022+ SUPER DOWN SPRINGS. Part number: </w:t>
      </w:r>
      <w:r>
        <w:t xml:space="preserve">T067S </w:t>
      </w:r>
    </w:p>
    <w:p w14:paraId="4F2570C4" w14:textId="2FAB531E" w:rsidR="00A73189" w:rsidRDefault="00000000" w:rsidP="00251C8A">
      <w:pPr>
        <w:spacing w:after="155" w:line="244" w:lineRule="auto"/>
        <w:ind w:left="1066" w:firstLine="0"/>
      </w:pPr>
      <w:r>
        <w:t xml:space="preserve">– the TTB feels that these do meet the criteria and intent for allowed </w:t>
      </w:r>
      <w:proofErr w:type="gramStart"/>
      <w:r>
        <w:t xml:space="preserve">lowering </w:t>
      </w:r>
      <w:r w:rsidR="00251C8A">
        <w:t xml:space="preserve"> </w:t>
      </w:r>
      <w:r>
        <w:t>springs</w:t>
      </w:r>
      <w:proofErr w:type="gramEnd"/>
      <w:r>
        <w:t xml:space="preserve"> and so they have been added to the alternate approved </w:t>
      </w:r>
      <w:r w:rsidR="00251C8A">
        <w:t>lowering springs</w:t>
      </w:r>
      <w:r>
        <w:t xml:space="preserve"> list. </w:t>
      </w:r>
    </w:p>
    <w:p w14:paraId="6A63E36C"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1518865F"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68E79FB5" w14:textId="77777777" w:rsidR="00A73189" w:rsidRDefault="00000000">
      <w:pPr>
        <w:numPr>
          <w:ilvl w:val="0"/>
          <w:numId w:val="1"/>
        </w:numPr>
        <w:spacing w:after="0"/>
        <w:ind w:right="42" w:hanging="360"/>
      </w:pPr>
      <w:r>
        <w:rPr>
          <w:color w:val="333333"/>
        </w:rPr>
        <w:t xml:space="preserve">Perrin Performance - 19mm or 22mm Front Sway Bar - Subaru BRZ / Scion FR-S / Toyota GT86. Part number: </w:t>
      </w:r>
      <w:r>
        <w:t>PSP-SUS-13 – the TTB feels that these do meet the criteria and intent for allowed sway bars and so they have been added to the alternate approved sway bar list.</w:t>
      </w:r>
      <w:r>
        <w:rPr>
          <w:b/>
          <w:sz w:val="48"/>
        </w:rPr>
        <w:t xml:space="preserve"> </w:t>
      </w:r>
    </w:p>
    <w:p w14:paraId="18E6E19C"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6C69E500"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35832E35" w14:textId="77777777" w:rsidR="00A73189" w:rsidRDefault="00000000">
      <w:pPr>
        <w:numPr>
          <w:ilvl w:val="0"/>
          <w:numId w:val="1"/>
        </w:numPr>
        <w:spacing w:after="0"/>
        <w:ind w:right="42" w:hanging="360"/>
      </w:pPr>
      <w:r>
        <w:rPr>
          <w:color w:val="333333"/>
        </w:rPr>
        <w:t>Perrin Performance -</w:t>
      </w:r>
      <w:r>
        <w:t xml:space="preserve">16mm Rear Sway Bar - BRZ/FR-S/86/GR86. Part number: PSP-SUS-229 – the TTB feels that these do meet the criteria and intent for allowed sway bars and so they have been added to the alternate approved sway bar list. </w:t>
      </w:r>
    </w:p>
    <w:p w14:paraId="04906ED0" w14:textId="77777777" w:rsidR="00A73189" w:rsidRDefault="00000000">
      <w:pPr>
        <w:spacing w:after="182" w:line="259" w:lineRule="auto"/>
        <w:ind w:left="0" w:firstLine="0"/>
      </w:pPr>
      <w:r>
        <w:t xml:space="preserve"> </w:t>
      </w:r>
      <w:r>
        <w:tab/>
      </w:r>
      <w:r>
        <w:rPr>
          <w:rFonts w:ascii="Times New Roman" w:eastAsia="Times New Roman" w:hAnsi="Times New Roman" w:cs="Times New Roman"/>
        </w:rPr>
        <w:t xml:space="preserve"> </w:t>
      </w:r>
    </w:p>
    <w:p w14:paraId="33F7E6F2" w14:textId="77777777" w:rsidR="00A73189" w:rsidRDefault="00000000">
      <w:pPr>
        <w:spacing w:after="138" w:line="259" w:lineRule="auto"/>
        <w:ind w:left="0" w:firstLine="0"/>
      </w:pPr>
      <w:r>
        <w:rPr>
          <w:b/>
          <w:sz w:val="28"/>
        </w:rPr>
        <w:t xml:space="preserve"> </w:t>
      </w:r>
    </w:p>
    <w:p w14:paraId="4863B365" w14:textId="77777777" w:rsidR="00A73189" w:rsidRDefault="00000000">
      <w:pPr>
        <w:spacing w:after="132" w:line="259" w:lineRule="auto"/>
        <w:ind w:left="0" w:firstLine="0"/>
      </w:pPr>
      <w:r>
        <w:rPr>
          <w:b/>
          <w:sz w:val="28"/>
        </w:rPr>
        <w:t xml:space="preserve"> </w:t>
      </w:r>
    </w:p>
    <w:p w14:paraId="33E60F98" w14:textId="77777777" w:rsidR="00A73189" w:rsidRDefault="00000000">
      <w:pPr>
        <w:spacing w:after="0" w:line="259" w:lineRule="auto"/>
        <w:ind w:left="0" w:firstLine="0"/>
      </w:pPr>
      <w:r>
        <w:rPr>
          <w:b/>
          <w:sz w:val="28"/>
        </w:rPr>
        <w:lastRenderedPageBreak/>
        <w:t xml:space="preserve"> </w:t>
      </w:r>
    </w:p>
    <w:p w14:paraId="1BF11542" w14:textId="77777777" w:rsidR="00A73189" w:rsidRDefault="00000000">
      <w:pPr>
        <w:spacing w:after="93" w:line="259" w:lineRule="auto"/>
        <w:ind w:left="-5" w:hanging="10"/>
      </w:pPr>
      <w:r>
        <w:rPr>
          <w:b/>
          <w:sz w:val="28"/>
        </w:rPr>
        <w:t>Not Approved</w:t>
      </w:r>
      <w:r>
        <w:rPr>
          <w:b/>
          <w:sz w:val="26"/>
        </w:rPr>
        <w:t>:</w:t>
      </w:r>
      <w:r>
        <w:rPr>
          <w:rFonts w:ascii="Times New Roman" w:eastAsia="Times New Roman" w:hAnsi="Times New Roman" w:cs="Times New Roman"/>
        </w:rPr>
        <w:t xml:space="preserve"> </w:t>
      </w:r>
    </w:p>
    <w:p w14:paraId="0AC9530E" w14:textId="77777777" w:rsidR="00A73189" w:rsidRDefault="00000000">
      <w:pPr>
        <w:pStyle w:val="Heading1"/>
        <w:ind w:left="356"/>
      </w:pPr>
      <w:r>
        <w:t>Sport Category</w:t>
      </w:r>
      <w:r>
        <w:rPr>
          <w:rFonts w:ascii="Times New Roman" w:eastAsia="Times New Roman" w:hAnsi="Times New Roman" w:cs="Times New Roman"/>
          <w:b w:val="0"/>
        </w:rPr>
        <w:t xml:space="preserve"> </w:t>
      </w:r>
    </w:p>
    <w:p w14:paraId="6883FDE6" w14:textId="77777777" w:rsidR="00A73189" w:rsidRDefault="00000000">
      <w:pPr>
        <w:ind w:left="1076" w:right="42"/>
      </w:pPr>
      <w:r>
        <w:rPr>
          <w:rFonts w:ascii="Segoe UI Symbol" w:eastAsia="Segoe UI Symbol" w:hAnsi="Segoe UI Symbol" w:cs="Segoe UI Symbol"/>
          <w:sz w:val="20"/>
        </w:rPr>
        <w:t>•</w:t>
      </w:r>
      <w:r>
        <w:rPr>
          <w:sz w:val="20"/>
        </w:rPr>
        <w:t xml:space="preserve"> </w:t>
      </w:r>
      <w:r>
        <w:rPr>
          <w:sz w:val="20"/>
        </w:rPr>
        <w:tab/>
      </w:r>
      <w:proofErr w:type="spellStart"/>
      <w:r>
        <w:t>Moroso</w:t>
      </w:r>
      <w:proofErr w:type="spellEnd"/>
      <w:r>
        <w:t xml:space="preserve"> Road Race Oil Pan: The TTB received a request to allow the use of this baffled oil pan in Sport as a “common reliability bolt on”.  </w:t>
      </w:r>
    </w:p>
    <w:p w14:paraId="2AB05B24" w14:textId="77777777" w:rsidR="00A73189" w:rsidRDefault="00000000">
      <w:pPr>
        <w:spacing w:after="128" w:line="267" w:lineRule="auto"/>
        <w:ind w:left="1451" w:hanging="10"/>
      </w:pPr>
      <w:r>
        <w:rPr>
          <w:i/>
        </w:rPr>
        <w:t xml:space="preserve">The TTB feels this modification, when applied to all cars, does not align with the Sport Category philosophy of “in the driveway with hand tools”. </w:t>
      </w:r>
    </w:p>
    <w:p w14:paraId="4AA52DD9" w14:textId="77777777" w:rsidR="00A73189" w:rsidRDefault="00000000">
      <w:pPr>
        <w:spacing w:after="140" w:line="259" w:lineRule="auto"/>
        <w:ind w:left="1441" w:firstLine="0"/>
      </w:pPr>
      <w:r>
        <w:rPr>
          <w:rFonts w:ascii="Times New Roman" w:eastAsia="Times New Roman" w:hAnsi="Times New Roman" w:cs="Times New Roman"/>
        </w:rPr>
        <w:t xml:space="preserve"> </w:t>
      </w:r>
    </w:p>
    <w:p w14:paraId="3DDCB965" w14:textId="77777777" w:rsidR="00A73189" w:rsidRDefault="00000000">
      <w:pPr>
        <w:pStyle w:val="Heading1"/>
        <w:ind w:left="356"/>
      </w:pPr>
      <w:r>
        <w:t>Tuner Category</w:t>
      </w:r>
      <w:r>
        <w:rPr>
          <w:rFonts w:ascii="Times New Roman" w:eastAsia="Times New Roman" w:hAnsi="Times New Roman" w:cs="Times New Roman"/>
          <w:b w:val="0"/>
        </w:rPr>
        <w:t xml:space="preserve"> </w:t>
      </w:r>
    </w:p>
    <w:p w14:paraId="57C1302E" w14:textId="77777777" w:rsidR="00A73189" w:rsidRDefault="00000000">
      <w:pPr>
        <w:spacing w:after="114" w:line="268" w:lineRule="auto"/>
        <w:ind w:left="1081" w:hanging="360"/>
      </w:pPr>
      <w:r>
        <w:rPr>
          <w:rFonts w:ascii="Segoe UI Symbol" w:eastAsia="Segoe UI Symbol" w:hAnsi="Segoe UI Symbol" w:cs="Segoe UI Symbol"/>
          <w:sz w:val="20"/>
        </w:rPr>
        <w:t>•</w:t>
      </w:r>
      <w:r>
        <w:rPr>
          <w:sz w:val="20"/>
        </w:rPr>
        <w:t xml:space="preserve"> </w:t>
      </w:r>
      <w:r>
        <w:rPr>
          <w:sz w:val="20"/>
        </w:rPr>
        <w:tab/>
      </w:r>
      <w:r>
        <w:rPr>
          <w:rFonts w:ascii="Roboto" w:eastAsia="Roboto" w:hAnsi="Roboto" w:cs="Roboto"/>
        </w:rPr>
        <w:t>DG Motorsports hardtop. The TTB received a request to allow the use of the DG Motorsports hardtop for the ND (2016-2023) MX-5 in Tuner.</w:t>
      </w:r>
      <w:r>
        <w:t xml:space="preserve"> </w:t>
      </w:r>
    </w:p>
    <w:p w14:paraId="29624268" w14:textId="77777777" w:rsidR="00A73189" w:rsidRDefault="00000000">
      <w:pPr>
        <w:spacing w:after="109" w:line="270" w:lineRule="auto"/>
        <w:ind w:left="1441" w:firstLine="0"/>
      </w:pPr>
      <w:r>
        <w:rPr>
          <w:rFonts w:ascii="Roboto" w:eastAsia="Roboto" w:hAnsi="Roboto" w:cs="Roboto"/>
          <w:i/>
        </w:rPr>
        <w:t xml:space="preserve">The TTB does not feel that allowing aftermarket hardtops, when there wasn’t an OE option, fits the overall ethos of the Tuner Category </w:t>
      </w:r>
      <w:proofErr w:type="gramStart"/>
      <w:r>
        <w:rPr>
          <w:rFonts w:ascii="Roboto" w:eastAsia="Roboto" w:hAnsi="Roboto" w:cs="Roboto"/>
          <w:i/>
        </w:rPr>
        <w:t>at this time</w:t>
      </w:r>
      <w:proofErr w:type="gramEnd"/>
      <w:r>
        <w:rPr>
          <w:rFonts w:ascii="Roboto" w:eastAsia="Roboto" w:hAnsi="Roboto" w:cs="Roboto"/>
          <w:i/>
        </w:rPr>
        <w:t xml:space="preserve">. </w:t>
      </w:r>
      <w:r>
        <w:rPr>
          <w:rFonts w:ascii="Times New Roman" w:eastAsia="Times New Roman" w:hAnsi="Times New Roman" w:cs="Times New Roman"/>
        </w:rPr>
        <w:t xml:space="preserve"> </w:t>
      </w:r>
    </w:p>
    <w:p w14:paraId="399A66A0" w14:textId="77777777" w:rsidR="00A73189" w:rsidRDefault="00000000">
      <w:pPr>
        <w:spacing w:after="128" w:line="259" w:lineRule="auto"/>
        <w:ind w:left="1081" w:firstLine="0"/>
      </w:pPr>
      <w:r>
        <w:rPr>
          <w:b/>
          <w:sz w:val="22"/>
        </w:rPr>
        <w:t xml:space="preserve"> </w:t>
      </w:r>
      <w:r>
        <w:rPr>
          <w:rFonts w:ascii="Times New Roman" w:eastAsia="Times New Roman" w:hAnsi="Times New Roman" w:cs="Times New Roman"/>
        </w:rPr>
        <w:t xml:space="preserve"> </w:t>
      </w:r>
    </w:p>
    <w:p w14:paraId="735FCF9B" w14:textId="77777777" w:rsidR="00A73189" w:rsidRDefault="00000000">
      <w:pPr>
        <w:spacing w:after="142" w:line="259" w:lineRule="auto"/>
        <w:ind w:left="0" w:firstLine="0"/>
      </w:pPr>
      <w:r>
        <w:rPr>
          <w:b/>
          <w:u w:val="single" w:color="000000"/>
        </w:rPr>
        <w:t>Technical Bulletins</w:t>
      </w:r>
      <w:r>
        <w:rPr>
          <w:rFonts w:ascii="Times New Roman" w:eastAsia="Times New Roman" w:hAnsi="Times New Roman" w:cs="Times New Roman"/>
        </w:rPr>
        <w:t xml:space="preserve"> </w:t>
      </w:r>
    </w:p>
    <w:p w14:paraId="3DAC5216" w14:textId="77777777" w:rsidR="00A73189" w:rsidRDefault="00000000">
      <w:pPr>
        <w:spacing w:after="128" w:line="267" w:lineRule="auto"/>
        <w:ind w:left="-5" w:hanging="10"/>
      </w:pPr>
      <w:r>
        <w:rPr>
          <w:i/>
        </w:rPr>
        <w:t xml:space="preserve">There are no items out for comment </w:t>
      </w:r>
      <w:proofErr w:type="gramStart"/>
      <w:r>
        <w:rPr>
          <w:i/>
        </w:rPr>
        <w:t>at this time</w:t>
      </w:r>
      <w:proofErr w:type="gramEnd"/>
      <w:r>
        <w:rPr>
          <w:rFonts w:ascii="Times New Roman" w:eastAsia="Times New Roman" w:hAnsi="Times New Roman" w:cs="Times New Roman"/>
        </w:rPr>
        <w:t xml:space="preserve"> </w:t>
      </w:r>
    </w:p>
    <w:p w14:paraId="16D5FBAC"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2A24BB9E" w14:textId="77777777" w:rsidR="00A73189" w:rsidRDefault="00000000">
      <w:pPr>
        <w:spacing w:after="135" w:line="259" w:lineRule="auto"/>
        <w:ind w:left="-5" w:hanging="10"/>
      </w:pPr>
      <w:r>
        <w:rPr>
          <w:b/>
          <w:sz w:val="22"/>
          <w:u w:val="single" w:color="000000"/>
        </w:rPr>
        <w:t>For Member Comment:</w:t>
      </w:r>
      <w:r>
        <w:rPr>
          <w:rFonts w:ascii="Times New Roman" w:eastAsia="Times New Roman" w:hAnsi="Times New Roman" w:cs="Times New Roman"/>
        </w:rPr>
        <w:t xml:space="preserve"> </w:t>
      </w:r>
    </w:p>
    <w:p w14:paraId="5E3E76D6" w14:textId="77777777" w:rsidR="00A73189" w:rsidRDefault="00000000">
      <w:pPr>
        <w:spacing w:after="128" w:line="267" w:lineRule="auto"/>
        <w:ind w:left="-5" w:hanging="10"/>
      </w:pPr>
      <w:r>
        <w:rPr>
          <w:i/>
        </w:rPr>
        <w:t xml:space="preserve">There are no items out for comment </w:t>
      </w:r>
      <w:proofErr w:type="gramStart"/>
      <w:r>
        <w:rPr>
          <w:i/>
        </w:rPr>
        <w:t>at this time</w:t>
      </w:r>
      <w:proofErr w:type="gramEnd"/>
      <w:r>
        <w:rPr>
          <w:rFonts w:ascii="Times New Roman" w:eastAsia="Times New Roman" w:hAnsi="Times New Roman" w:cs="Times New Roman"/>
        </w:rPr>
        <w:t xml:space="preserve"> </w:t>
      </w:r>
    </w:p>
    <w:p w14:paraId="1D61D2CD"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4CE0BAE5" w14:textId="77777777" w:rsidR="00A73189" w:rsidRDefault="00000000">
      <w:pPr>
        <w:spacing w:after="135" w:line="259" w:lineRule="auto"/>
        <w:ind w:left="-5" w:hanging="10"/>
      </w:pPr>
      <w:r>
        <w:rPr>
          <w:b/>
          <w:sz w:val="22"/>
          <w:u w:val="single" w:color="000000"/>
        </w:rPr>
        <w:t>Class Changes</w:t>
      </w:r>
      <w:r>
        <w:rPr>
          <w:rFonts w:ascii="Times New Roman" w:eastAsia="Times New Roman" w:hAnsi="Times New Roman" w:cs="Times New Roman"/>
        </w:rPr>
        <w:t xml:space="preserve"> </w:t>
      </w:r>
    </w:p>
    <w:p w14:paraId="646EB469" w14:textId="77777777" w:rsidR="00A73189" w:rsidRDefault="00000000">
      <w:pPr>
        <w:spacing w:after="128" w:line="267" w:lineRule="auto"/>
        <w:ind w:left="-5" w:hanging="10"/>
      </w:pPr>
      <w:r>
        <w:rPr>
          <w:i/>
        </w:rPr>
        <w:t xml:space="preserve">There are no proposed class changes </w:t>
      </w:r>
      <w:proofErr w:type="gramStart"/>
      <w:r>
        <w:rPr>
          <w:i/>
        </w:rPr>
        <w:t>at this time</w:t>
      </w:r>
      <w:proofErr w:type="gramEnd"/>
      <w:r>
        <w:rPr>
          <w:rFonts w:ascii="Times New Roman" w:eastAsia="Times New Roman" w:hAnsi="Times New Roman" w:cs="Times New Roman"/>
        </w:rPr>
        <w:t xml:space="preserve"> </w:t>
      </w:r>
    </w:p>
    <w:p w14:paraId="060C1C74"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19AC4EBB" w14:textId="77777777" w:rsidR="00A73189" w:rsidRDefault="00000000">
      <w:pPr>
        <w:spacing w:after="135" w:line="259" w:lineRule="auto"/>
        <w:ind w:left="-5" w:hanging="10"/>
      </w:pPr>
      <w:r>
        <w:rPr>
          <w:b/>
          <w:sz w:val="22"/>
          <w:u w:val="single" w:color="000000"/>
        </w:rPr>
        <w:t>Rules Changes</w:t>
      </w:r>
      <w:r>
        <w:rPr>
          <w:rFonts w:ascii="Times New Roman" w:eastAsia="Times New Roman" w:hAnsi="Times New Roman" w:cs="Times New Roman"/>
        </w:rPr>
        <w:t xml:space="preserve"> </w:t>
      </w:r>
    </w:p>
    <w:p w14:paraId="02552571" w14:textId="77777777" w:rsidR="00A73189" w:rsidRDefault="00000000">
      <w:pPr>
        <w:pStyle w:val="Heading2"/>
        <w:ind w:left="-5"/>
      </w:pPr>
      <w:r>
        <w:t xml:space="preserve">There are no proposed rule changes </w:t>
      </w:r>
      <w:proofErr w:type="gramStart"/>
      <w:r>
        <w:t>at this time</w:t>
      </w:r>
      <w:proofErr w:type="gramEnd"/>
      <w:r>
        <w:rPr>
          <w:rFonts w:ascii="Times New Roman" w:eastAsia="Times New Roman" w:hAnsi="Times New Roman" w:cs="Times New Roman"/>
          <w:i w:val="0"/>
        </w:rPr>
        <w:t xml:space="preserve"> </w:t>
      </w:r>
    </w:p>
    <w:p w14:paraId="178A1ACC"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2832C72D" w14:textId="77777777" w:rsidR="00A73189" w:rsidRDefault="00000000">
      <w:pPr>
        <w:spacing w:after="135" w:line="259" w:lineRule="auto"/>
        <w:ind w:left="-5" w:hanging="10"/>
      </w:pPr>
      <w:r>
        <w:rPr>
          <w:b/>
          <w:sz w:val="22"/>
          <w:u w:val="single" w:color="000000"/>
        </w:rPr>
        <w:t>Classed Cars</w:t>
      </w:r>
      <w:r>
        <w:rPr>
          <w:rFonts w:ascii="Times New Roman" w:eastAsia="Times New Roman" w:hAnsi="Times New Roman" w:cs="Times New Roman"/>
        </w:rPr>
        <w:t xml:space="preserve"> </w:t>
      </w:r>
    </w:p>
    <w:p w14:paraId="3F0FC345" w14:textId="77777777" w:rsidR="00A73189" w:rsidRDefault="00000000">
      <w:pPr>
        <w:spacing w:after="152" w:line="241" w:lineRule="auto"/>
        <w:ind w:left="731" w:right="53"/>
      </w:pPr>
      <w:r>
        <w:rPr>
          <w:rFonts w:ascii="Segoe UI Symbol" w:eastAsia="Segoe UI Symbol" w:hAnsi="Segoe UI Symbol" w:cs="Segoe UI Symbol"/>
          <w:sz w:val="20"/>
        </w:rPr>
        <w:t>•</w:t>
      </w:r>
      <w:r>
        <w:rPr>
          <w:sz w:val="20"/>
        </w:rPr>
        <w:t xml:space="preserve"> </w:t>
      </w:r>
      <w:r>
        <w:rPr>
          <w:sz w:val="20"/>
        </w:rPr>
        <w:tab/>
      </w:r>
      <w:r>
        <w:rPr>
          <w:sz w:val="22"/>
        </w:rPr>
        <w:t xml:space="preserve">No cars for this Fastrack, but there are cars in the que that will be classed before the VIR event. </w:t>
      </w:r>
    </w:p>
    <w:p w14:paraId="5AC2F133" w14:textId="77777777" w:rsidR="00A73189" w:rsidRDefault="00000000">
      <w:pPr>
        <w:spacing w:after="128" w:line="259" w:lineRule="auto"/>
        <w:ind w:left="0" w:firstLine="0"/>
      </w:pPr>
      <w:r>
        <w:rPr>
          <w:sz w:val="22"/>
        </w:rPr>
        <w:t xml:space="preserve"> </w:t>
      </w:r>
      <w:r>
        <w:rPr>
          <w:rFonts w:ascii="Times New Roman" w:eastAsia="Times New Roman" w:hAnsi="Times New Roman" w:cs="Times New Roman"/>
        </w:rPr>
        <w:t xml:space="preserve"> </w:t>
      </w:r>
    </w:p>
    <w:p w14:paraId="03AC2825"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7E8CB528" w14:textId="77777777" w:rsidR="00A73189" w:rsidRDefault="00000000">
      <w:pPr>
        <w:spacing w:after="133" w:line="259" w:lineRule="auto"/>
        <w:ind w:left="0" w:firstLine="0"/>
      </w:pPr>
      <w:r>
        <w:rPr>
          <w:sz w:val="22"/>
        </w:rPr>
        <w:t xml:space="preserve"> </w:t>
      </w:r>
      <w:r>
        <w:rPr>
          <w:rFonts w:ascii="Times New Roman" w:eastAsia="Times New Roman" w:hAnsi="Times New Roman" w:cs="Times New Roman"/>
        </w:rPr>
        <w:t xml:space="preserve"> </w:t>
      </w:r>
    </w:p>
    <w:p w14:paraId="770EB5B1" w14:textId="77777777" w:rsidR="00A73189" w:rsidRDefault="00000000">
      <w:pPr>
        <w:spacing w:after="0" w:line="259" w:lineRule="auto"/>
        <w:ind w:left="0" w:firstLine="0"/>
      </w:pPr>
      <w:r>
        <w:rPr>
          <w:rFonts w:ascii="Times New Roman" w:eastAsia="Times New Roman" w:hAnsi="Times New Roman" w:cs="Times New Roman"/>
        </w:rPr>
        <w:t xml:space="preserve"> </w:t>
      </w:r>
    </w:p>
    <w:p w14:paraId="0A5D3260" w14:textId="77777777" w:rsidR="00A73189" w:rsidRDefault="00000000">
      <w:pPr>
        <w:spacing w:after="0" w:line="259" w:lineRule="auto"/>
        <w:ind w:left="0" w:firstLine="0"/>
      </w:pPr>
      <w:r>
        <w:rPr>
          <w:rFonts w:ascii="Calibri" w:eastAsia="Calibri" w:hAnsi="Calibri" w:cs="Calibri"/>
        </w:rPr>
        <w:t xml:space="preserve"> </w:t>
      </w:r>
    </w:p>
    <w:sectPr w:rsidR="00A73189">
      <w:pgSz w:w="12240" w:h="15840"/>
      <w:pgMar w:top="1452" w:right="1375" w:bottom="150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542C7"/>
    <w:multiLevelType w:val="hybridMultilevel"/>
    <w:tmpl w:val="2368BA7C"/>
    <w:lvl w:ilvl="0" w:tplc="DD2A398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D8830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AA8910">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1CCA36">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B64C72">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A0465C">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10496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82ABF4">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EECF06">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022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89"/>
    <w:rsid w:val="00251C8A"/>
    <w:rsid w:val="00A7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FA82A"/>
  <w15:docId w15:val="{2F11DDDC-CB3B-1A4B-AE2F-5D5B5540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49" w:lineRule="auto"/>
      <w:ind w:left="370" w:hanging="370"/>
    </w:pPr>
    <w:rPr>
      <w:rFonts w:ascii="Arial" w:eastAsia="Arial" w:hAnsi="Arial" w:cs="Arial"/>
      <w:color w:val="000000"/>
      <w:lang w:bidi="en-US"/>
    </w:rPr>
  </w:style>
  <w:style w:type="paragraph" w:styleId="Heading1">
    <w:name w:val="heading 1"/>
    <w:next w:val="Normal"/>
    <w:link w:val="Heading1Char"/>
    <w:uiPriority w:val="9"/>
    <w:qFormat/>
    <w:pPr>
      <w:keepNext/>
      <w:keepLines/>
      <w:spacing w:after="135" w:line="25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28" w:line="267" w:lineRule="auto"/>
      <w:ind w:left="1451" w:hanging="10"/>
      <w:outlineLvl w:val="1"/>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metrials.scca.com/pages/organizational-and-administrative-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etrials.scca.com/pages/organizational-and-administrative-procedur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Hunter</dc:creator>
  <cp:keywords/>
  <cp:lastModifiedBy>John Hunter</cp:lastModifiedBy>
  <cp:revision>2</cp:revision>
  <dcterms:created xsi:type="dcterms:W3CDTF">2023-02-08T19:21:00Z</dcterms:created>
  <dcterms:modified xsi:type="dcterms:W3CDTF">2023-02-08T19:21:00Z</dcterms:modified>
</cp:coreProperties>
</file>